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63418A">
            <w:pPr>
              <w:pStyle w:val="Bezproreda"/>
              <w:rPr>
                <w:w w:val="95"/>
              </w:rPr>
            </w:pPr>
            <w:r>
              <w:rPr>
                <w:w w:val="95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5156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 </w:t>
            </w:r>
            <w:r w:rsidR="00E5156A">
              <w:rPr>
                <w:w w:val="95"/>
                <w:sz w:val="20"/>
                <w:szCs w:val="20"/>
              </w:rPr>
              <w:t xml:space="preserve">/ (66.sat) 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63418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</w:t>
            </w:r>
            <w:r w:rsidR="0063418A">
              <w:rPr>
                <w:b/>
                <w:bCs/>
                <w:w w:val="95"/>
                <w:sz w:val="20"/>
                <w:szCs w:val="20"/>
              </w:rPr>
              <w:t>D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– </w:t>
            </w:r>
            <w:r w:rsidR="0063418A">
              <w:rPr>
                <w:b/>
                <w:bCs/>
                <w:w w:val="95"/>
                <w:sz w:val="20"/>
                <w:szCs w:val="20"/>
              </w:rPr>
              <w:t>ENERGIJA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E06240" w:rsidP="00E06240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Promjena unutarnje energije radom i toplinom</w:t>
            </w:r>
            <w:r w:rsidR="00FC4F87">
              <w:rPr>
                <w:b/>
                <w:bCs/>
                <w:w w:val="95"/>
                <w:sz w:val="20"/>
                <w:szCs w:val="20"/>
              </w:rPr>
              <w:t xml:space="preserve"> (1.</w:t>
            </w:r>
            <w:r>
              <w:rPr>
                <w:b/>
                <w:bCs/>
                <w:w w:val="95"/>
                <w:sz w:val="20"/>
                <w:szCs w:val="20"/>
              </w:rPr>
              <w:t>sa</w:t>
            </w:r>
            <w:r w:rsidR="00FC4F87">
              <w:rPr>
                <w:b/>
                <w:bCs/>
                <w:w w:val="95"/>
                <w:sz w:val="20"/>
                <w:szCs w:val="20"/>
              </w:rPr>
              <w:t>t)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8A" w:rsidRDefault="00F64D7D" w:rsidP="0063418A">
            <w:pPr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.7.</w:t>
            </w:r>
            <w:r w:rsid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9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 w:rsidR="0063418A" w:rsidRP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Povezuje promjenu unutarnje energije i toplinu</w:t>
            </w:r>
          </w:p>
          <w:p w:rsidR="00F64D7D" w:rsidRPr="009335EB" w:rsidRDefault="00F64D7D" w:rsidP="0063418A">
            <w:pPr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335EB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9335EB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 Istražuje fizičke pojave</w:t>
            </w:r>
          </w:p>
          <w:p w:rsidR="00F64D7D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 Rješava fizičke probleme</w:t>
            </w:r>
          </w:p>
          <w:p w:rsidR="003052CC" w:rsidRPr="009F11F9" w:rsidRDefault="003052CC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87" w:rsidRPr="00FC4F87" w:rsidRDefault="0063418A" w:rsidP="00FC4F87">
            <w:p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="00FC4F87" w:rsidRPr="00FC4F87">
              <w:rPr>
                <w:b/>
                <w:bCs/>
                <w:sz w:val="20"/>
                <w:szCs w:val="20"/>
              </w:rPr>
              <w:t>.7.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FC4F87" w:rsidRPr="00FC4F87">
              <w:rPr>
                <w:b/>
                <w:bCs/>
                <w:sz w:val="20"/>
                <w:szCs w:val="20"/>
              </w:rPr>
              <w:t>.</w:t>
            </w:r>
          </w:p>
          <w:p w:rsidR="00766003" w:rsidRPr="00766003" w:rsidRDefault="00766003" w:rsidP="00FC4F87">
            <w:pPr>
              <w:spacing w:before="60" w:after="60" w:line="240" w:lineRule="auto"/>
              <w:rPr>
                <w:sz w:val="20"/>
                <w:szCs w:val="20"/>
              </w:rPr>
            </w:pPr>
            <w:r w:rsidRPr="00766003">
              <w:rPr>
                <w:sz w:val="20"/>
                <w:szCs w:val="20"/>
              </w:rPr>
              <w:t>istražiti o čemu ovisi toplina što je tijelo može primiti ili predati.</w:t>
            </w:r>
          </w:p>
          <w:p w:rsidR="00FC4F87" w:rsidRDefault="0063418A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FC4F87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</w:t>
            </w:r>
            <w:r w:rsidR="00FC4F87">
              <w:rPr>
                <w:b/>
                <w:color w:val="231F20"/>
                <w:sz w:val="20"/>
                <w:szCs w:val="20"/>
                <w:shd w:val="clear" w:color="auto" w:fill="FFFFFF"/>
              </w:rPr>
              <w:t>0</w:t>
            </w:r>
            <w:r w:rsidR="00FC4F87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FC4F87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C4F87" w:rsidRDefault="00FC4F87" w:rsidP="00FC4F87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5243D" w:rsidRPr="0025243D" w:rsidRDefault="0025243D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5243D">
              <w:rPr>
                <w:color w:val="231F20"/>
                <w:sz w:val="20"/>
                <w:szCs w:val="20"/>
                <w:shd w:val="clear" w:color="auto" w:fill="FFFFFF"/>
              </w:rPr>
              <w:t>Istražuje pojavu pomoću učeničkog pokusa</w:t>
            </w:r>
          </w:p>
          <w:p w:rsidR="00F64D7D" w:rsidRDefault="0063418A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F64D7D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="00F64D7D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4D7D" w:rsidRPr="00681906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F64D7D" w:rsidRPr="00681906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052CC" w:rsidRPr="009F11F9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FC4F87" w:rsidRPr="00C855DA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Kemija</w:t>
            </w:r>
          </w:p>
          <w:p w:rsidR="00FC4F87" w:rsidRPr="00FC4F87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C.7.1. Analizira izmjenu energije između sustava i okoline.</w:t>
            </w:r>
          </w:p>
          <w:p w:rsidR="00FC4F87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D.7.1. Povezuje rezultate i zaključke istraživanja s konceptualnim spoznajama.</w:t>
            </w:r>
          </w:p>
          <w:p w:rsidR="0063418A" w:rsidRPr="00C855DA" w:rsidRDefault="0063418A" w:rsidP="0063418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Biologija</w:t>
            </w:r>
          </w:p>
          <w:p w:rsidR="0063418A" w:rsidRPr="00FC4F87" w:rsidRDefault="0063418A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B.7.3. Stavlja u odnos prilagodbe živih bića i životne uvjete</w:t>
            </w:r>
          </w:p>
          <w:p w:rsidR="00FC4F87" w:rsidRPr="00C855DA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63418A" w:rsidRDefault="003052CC" w:rsidP="0063418A">
            <w:pPr>
              <w:spacing w:after="0" w:line="240" w:lineRule="auto"/>
              <w:rPr>
                <w:b/>
                <w:color w:val="000000"/>
                <w:sz w:val="20"/>
                <w:lang w:eastAsia="hr-HR"/>
              </w:rPr>
            </w:pPr>
            <w:r w:rsidRPr="0063418A">
              <w:rPr>
                <w:b/>
                <w:color w:val="000000"/>
                <w:sz w:val="20"/>
                <w:lang w:eastAsia="hr-HR"/>
              </w:rPr>
              <w:t>Osobni i socijalni razvoj</w:t>
            </w:r>
          </w:p>
          <w:p w:rsidR="00FC4F87" w:rsidRPr="0063418A" w:rsidRDefault="00FC4F87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CA3E70">
              <w:rPr>
                <w:color w:val="000000"/>
                <w:sz w:val="20"/>
                <w:lang w:eastAsia="hr-HR"/>
              </w:rPr>
              <w:t>B.3.4. Suradnički uči i radi u timu.  </w:t>
            </w:r>
          </w:p>
          <w:p w:rsidR="003052CC" w:rsidRPr="0063418A" w:rsidRDefault="003052CC" w:rsidP="0063418A">
            <w:pPr>
              <w:spacing w:after="0" w:line="240" w:lineRule="auto"/>
              <w:rPr>
                <w:b/>
                <w:color w:val="000000"/>
                <w:sz w:val="20"/>
                <w:lang w:eastAsia="hr-HR"/>
              </w:rPr>
            </w:pPr>
            <w:r w:rsidRPr="0063418A">
              <w:rPr>
                <w:b/>
                <w:color w:val="000000"/>
                <w:sz w:val="20"/>
                <w:lang w:eastAsia="hr-HR"/>
              </w:rPr>
              <w:t>Poduzetništvo</w:t>
            </w:r>
          </w:p>
          <w:p w:rsidR="0063418A" w:rsidRPr="0063418A" w:rsidRDefault="0063418A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CA3E70">
              <w:rPr>
                <w:color w:val="000000"/>
                <w:sz w:val="20"/>
                <w:lang w:eastAsia="hr-HR"/>
              </w:rPr>
              <w:t>A.3.1. Primjenjuje inovativna i kreativna rješenja.  </w:t>
            </w:r>
          </w:p>
          <w:p w:rsidR="003052CC" w:rsidRDefault="003052CC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  <w:p w:rsidR="0063418A" w:rsidRPr="0063418A" w:rsidRDefault="0063418A" w:rsidP="0063418A">
            <w:pPr>
              <w:spacing w:after="0" w:line="240" w:lineRule="auto"/>
              <w:rPr>
                <w:b/>
                <w:color w:val="000000"/>
                <w:sz w:val="20"/>
                <w:lang w:eastAsia="hr-HR"/>
              </w:rPr>
            </w:pPr>
            <w:r w:rsidRPr="0063418A">
              <w:rPr>
                <w:b/>
                <w:color w:val="000000"/>
                <w:sz w:val="20"/>
                <w:lang w:eastAsia="hr-HR"/>
              </w:rPr>
              <w:t>IKT</w:t>
            </w:r>
          </w:p>
          <w:p w:rsidR="0063418A" w:rsidRPr="0063418A" w:rsidRDefault="0063418A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CA3E70">
              <w:rPr>
                <w:color w:val="000000"/>
                <w:sz w:val="20"/>
                <w:lang w:eastAsia="hr-HR"/>
              </w:rPr>
              <w:t>A.3.4. Učenik analizira utjecaj tehnologije na zdravlje i okoliš.  </w:t>
            </w:r>
          </w:p>
          <w:p w:rsidR="0063418A" w:rsidRPr="0063418A" w:rsidRDefault="0063418A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</w:p>
        </w:tc>
      </w:tr>
      <w:tr w:rsidR="003052CC" w:rsidTr="00ED0EEB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3052CC" w:rsidRDefault="003052CC" w:rsidP="00ED0EE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</w:t>
            </w:r>
            <w:r w:rsidRPr="0095231A">
              <w:rPr>
                <w:sz w:val="20"/>
                <w:szCs w:val="20"/>
              </w:rPr>
              <w:lastRenderedPageBreak/>
              <w:t xml:space="preserve">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3052CC" w:rsidRPr="003052CC" w:rsidRDefault="003052CC" w:rsidP="00810F0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</w:tc>
      </w:tr>
      <w:tr w:rsidR="003052CC" w:rsidTr="00ED0EEB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F64D7D" w:rsidRPr="00415023" w:rsidRDefault="003052CC" w:rsidP="00F64D7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 xml:space="preserve">frontalnim razgovorom provjeriti razinu usvojenosti </w:t>
            </w:r>
            <w:r w:rsidR="00F64D7D" w:rsidRPr="004E79D4">
              <w:rPr>
                <w:sz w:val="20"/>
                <w:szCs w:val="20"/>
              </w:rPr>
              <w:t>ob</w:t>
            </w:r>
            <w:r w:rsidR="00F64D7D">
              <w:rPr>
                <w:sz w:val="20"/>
                <w:szCs w:val="20"/>
              </w:rPr>
              <w:t xml:space="preserve">razovnih ishoda FIZ OŠ </w:t>
            </w:r>
            <w:r w:rsidR="0063418A">
              <w:rPr>
                <w:sz w:val="20"/>
                <w:szCs w:val="20"/>
              </w:rPr>
              <w:t>D</w:t>
            </w:r>
            <w:r w:rsidR="00F64D7D">
              <w:rPr>
                <w:sz w:val="20"/>
                <w:szCs w:val="20"/>
              </w:rPr>
              <w:t>.7.</w:t>
            </w:r>
            <w:r w:rsidR="0063418A">
              <w:rPr>
                <w:sz w:val="20"/>
                <w:szCs w:val="20"/>
              </w:rPr>
              <w:t>9</w:t>
            </w:r>
            <w:r w:rsidR="00F64D7D">
              <w:rPr>
                <w:sz w:val="20"/>
                <w:szCs w:val="20"/>
              </w:rPr>
              <w:t xml:space="preserve">, domene </w:t>
            </w:r>
            <w:r w:rsidR="0063418A">
              <w:rPr>
                <w:sz w:val="20"/>
                <w:szCs w:val="20"/>
              </w:rPr>
              <w:t>Energija</w:t>
            </w:r>
            <w:r w:rsidR="003D4C92">
              <w:rPr>
                <w:sz w:val="20"/>
                <w:szCs w:val="20"/>
              </w:rPr>
              <w:t xml:space="preserve"> i</w:t>
            </w:r>
            <w:r w:rsidR="00F64D7D">
              <w:rPr>
                <w:sz w:val="20"/>
                <w:szCs w:val="20"/>
              </w:rPr>
              <w:t xml:space="preserve"> razrađenih ishoda </w:t>
            </w:r>
          </w:p>
          <w:p w:rsidR="003052CC" w:rsidRPr="0063418A" w:rsidRDefault="003052CC" w:rsidP="0063418A">
            <w:pPr>
              <w:pStyle w:val="Odlomakpopisa"/>
              <w:numPr>
                <w:ilvl w:val="0"/>
                <w:numId w:val="16"/>
              </w:numPr>
              <w:tabs>
                <w:tab w:val="center" w:pos="3630"/>
                <w:tab w:val="left" w:pos="4440"/>
              </w:tabs>
              <w:autoSpaceDE w:val="0"/>
              <w:autoSpaceDN w:val="0"/>
              <w:adjustRightInd w:val="0"/>
              <w:spacing w:before="60" w:after="0" w:line="240" w:lineRule="auto"/>
              <w:rPr>
                <w:sz w:val="20"/>
                <w:szCs w:val="20"/>
              </w:rPr>
            </w:pPr>
            <w:r w:rsidRPr="0063418A">
              <w:rPr>
                <w:sz w:val="20"/>
                <w:szCs w:val="20"/>
              </w:rPr>
              <w:t xml:space="preserve">RB zadaci na str </w:t>
            </w:r>
            <w:r w:rsidR="00766003">
              <w:rPr>
                <w:sz w:val="20"/>
                <w:szCs w:val="20"/>
              </w:rPr>
              <w:t>8</w:t>
            </w:r>
            <w:r w:rsidR="00E5156A">
              <w:rPr>
                <w:sz w:val="20"/>
                <w:szCs w:val="20"/>
              </w:rPr>
              <w:t>5</w:t>
            </w:r>
            <w:r w:rsidR="00F64D7D" w:rsidRPr="0063418A">
              <w:rPr>
                <w:sz w:val="20"/>
                <w:szCs w:val="20"/>
              </w:rPr>
              <w:t>.</w:t>
            </w:r>
            <w:r w:rsidRPr="0063418A">
              <w:rPr>
                <w:sz w:val="20"/>
                <w:szCs w:val="20"/>
              </w:rPr>
              <w:t>-</w:t>
            </w:r>
            <w:r w:rsidR="0063418A">
              <w:rPr>
                <w:sz w:val="20"/>
                <w:szCs w:val="20"/>
              </w:rPr>
              <w:t>8</w:t>
            </w:r>
            <w:r w:rsidR="00E5156A">
              <w:rPr>
                <w:sz w:val="20"/>
                <w:szCs w:val="20"/>
              </w:rPr>
              <w:t>6</w:t>
            </w:r>
            <w:r w:rsidRPr="0063418A">
              <w:rPr>
                <w:sz w:val="20"/>
                <w:szCs w:val="20"/>
              </w:rPr>
              <w:t>.</w:t>
            </w:r>
          </w:p>
          <w:p w:rsidR="00F64D7D" w:rsidRPr="001B6BC1" w:rsidRDefault="00F64D7D" w:rsidP="00F64D7D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CC3007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D84899">
              <w:rPr>
                <w:sz w:val="20"/>
                <w:szCs w:val="20"/>
              </w:rPr>
              <w:t>rasprava, demonstracijski pokus, razgovor, rad na tekstu</w:t>
            </w:r>
            <w:r>
              <w:rPr>
                <w:sz w:val="20"/>
                <w:szCs w:val="20"/>
              </w:rPr>
              <w:t>, interaktivna simulacija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CC3007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84899">
              <w:rPr>
                <w:rStyle w:val="Zadanifontodlomka1"/>
                <w:sz w:val="20"/>
                <w:szCs w:val="20"/>
              </w:rPr>
              <w:t>frontalni, grup</w:t>
            </w:r>
            <w:r>
              <w:rPr>
                <w:rStyle w:val="Zadanifontodlomka1"/>
                <w:sz w:val="20"/>
                <w:szCs w:val="20"/>
              </w:rPr>
              <w:t>ni</w:t>
            </w:r>
            <w:r w:rsidRPr="00D84899">
              <w:rPr>
                <w:rStyle w:val="Zadanifontodlomka1"/>
                <w:sz w:val="20"/>
                <w:szCs w:val="20"/>
              </w:rPr>
              <w:t>,  individualni rad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7" w:rsidRPr="00D84899" w:rsidRDefault="00CC3007" w:rsidP="00CC300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čaše, tinta</w:t>
            </w:r>
            <w:r w:rsidR="0025243D">
              <w:rPr>
                <w:sz w:val="20"/>
                <w:szCs w:val="20"/>
              </w:rPr>
              <w:t>, voda</w:t>
            </w:r>
          </w:p>
          <w:p w:rsidR="00CC3007" w:rsidRPr="00D84899" w:rsidRDefault="00CC3007" w:rsidP="00CC300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84899">
              <w:rPr>
                <w:sz w:val="20"/>
                <w:szCs w:val="20"/>
              </w:rPr>
              <w:t>ploča,</w:t>
            </w:r>
            <w:r>
              <w:rPr>
                <w:sz w:val="20"/>
                <w:szCs w:val="20"/>
              </w:rPr>
              <w:t xml:space="preserve"> </w:t>
            </w:r>
            <w:r w:rsidRPr="00D84899">
              <w:rPr>
                <w:sz w:val="20"/>
                <w:szCs w:val="20"/>
              </w:rPr>
              <w:t>kreda</w:t>
            </w:r>
          </w:p>
          <w:p w:rsidR="003052CC" w:rsidRPr="00D1771F" w:rsidRDefault="00CC3007" w:rsidP="00CC3007">
            <w:pPr>
              <w:pStyle w:val="Odlomakpopisa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tableti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810F0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810F0B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E5156A" w:rsidRPr="00E45C0D" w:rsidRDefault="00E5156A" w:rsidP="00E5156A">
            <w:pPr>
              <w:spacing w:after="0" w:line="240" w:lineRule="auto"/>
              <w:jc w:val="center"/>
            </w:pPr>
            <w:r w:rsidRPr="00E45C0D">
              <w:rPr>
                <w:b/>
              </w:rPr>
              <w:t>Promjena unutarnje energije radom i toplinom</w:t>
            </w:r>
          </w:p>
          <w:p w:rsidR="00E5156A" w:rsidRDefault="00E5156A" w:rsidP="00E5156A">
            <w:pPr>
              <w:spacing w:after="0" w:line="240" w:lineRule="auto"/>
            </w:pPr>
          </w:p>
          <w:p w:rsidR="00E5156A" w:rsidRDefault="00E5156A" w:rsidP="00E5156A">
            <w:pPr>
              <w:spacing w:after="0" w:line="240" w:lineRule="auto"/>
            </w:pPr>
            <w:r>
              <w:t>I</w:t>
            </w:r>
            <w:r w:rsidRPr="00E45C0D">
              <w:t xml:space="preserve">lustrirati pokus: </w:t>
            </w:r>
            <w:r>
              <w:t xml:space="preserve"> </w:t>
            </w:r>
            <w:r w:rsidRPr="00E45C0D">
              <w:t>udarac čekićem o metalnu pločicu</w:t>
            </w:r>
          </w:p>
          <w:p w:rsidR="00E5156A" w:rsidRDefault="00E5156A" w:rsidP="00E5156A">
            <w:pPr>
              <w:spacing w:after="0" w:line="240" w:lineRule="auto"/>
            </w:pPr>
          </w:p>
          <w:p w:rsidR="00E5156A" w:rsidRPr="00E45C0D" w:rsidRDefault="00E5156A" w:rsidP="00E5156A">
            <w:pPr>
              <w:spacing w:after="0" w:line="240" w:lineRule="auto"/>
            </w:pPr>
            <w:r w:rsidRPr="00E45C0D">
              <w:t xml:space="preserve"> rad → unutarnja energija</w:t>
            </w:r>
          </w:p>
          <w:p w:rsidR="00E5156A" w:rsidRPr="00E45C0D" w:rsidRDefault="00E5156A" w:rsidP="00E5156A">
            <w:pPr>
              <w:tabs>
                <w:tab w:val="left" w:pos="9225"/>
              </w:tabs>
              <w:spacing w:after="0" w:line="240" w:lineRule="auto"/>
            </w:pPr>
            <w:r>
              <w:tab/>
            </w:r>
          </w:p>
          <w:p w:rsidR="00E5156A" w:rsidRDefault="00E5156A" w:rsidP="00E5156A">
            <w:pPr>
              <w:spacing w:after="0" w:line="240" w:lineRule="auto"/>
            </w:pPr>
          </w:p>
          <w:p w:rsidR="00E5156A" w:rsidRDefault="00E5156A" w:rsidP="00E5156A">
            <w:pPr>
              <w:spacing w:after="0" w:line="240" w:lineRule="auto"/>
            </w:pPr>
            <w:r w:rsidRPr="00E45C0D">
              <w:t>Ilustrirati pokus: zagrijav</w:t>
            </w:r>
            <w:r>
              <w:t>an</w:t>
            </w:r>
            <w:r w:rsidRPr="00E45C0D">
              <w:t xml:space="preserve">je zraka u tikvici, čep izleti </w:t>
            </w:r>
          </w:p>
          <w:p w:rsidR="00E5156A" w:rsidRDefault="00E5156A" w:rsidP="00E5156A">
            <w:pPr>
              <w:spacing w:after="0" w:line="240" w:lineRule="auto"/>
            </w:pPr>
            <w:r>
              <w:t xml:space="preserve"> </w:t>
            </w:r>
          </w:p>
          <w:p w:rsidR="00E5156A" w:rsidRPr="00E45C0D" w:rsidRDefault="00E5156A" w:rsidP="00E5156A">
            <w:pPr>
              <w:spacing w:after="0" w:line="240" w:lineRule="auto"/>
            </w:pPr>
            <w:r w:rsidRPr="00E45C0D">
              <w:t>unutarnja energija → rad</w:t>
            </w:r>
          </w:p>
          <w:p w:rsidR="00E5156A" w:rsidRDefault="00E5156A" w:rsidP="00E5156A">
            <w:pPr>
              <w:spacing w:after="0" w:line="240" w:lineRule="auto"/>
            </w:pPr>
            <w:r>
              <w:t xml:space="preserve"> </w:t>
            </w:r>
          </w:p>
          <w:p w:rsidR="00E5156A" w:rsidRPr="00E45C0D" w:rsidRDefault="00E5156A" w:rsidP="00E5156A">
            <w:pPr>
              <w:spacing w:after="0" w:line="240" w:lineRule="auto"/>
            </w:pPr>
            <w:r>
              <w:t xml:space="preserve">– </w:t>
            </w:r>
            <w:r w:rsidRPr="00E45C0D">
              <w:t>vrijedi zakon očuvanja energije</w:t>
            </w:r>
          </w:p>
          <w:p w:rsidR="0025243D" w:rsidRDefault="0025243D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5243D" w:rsidRDefault="0025243D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5243D" w:rsidRPr="00D4176D" w:rsidRDefault="0025243D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0F0B" w:rsidTr="00810F0B">
        <w:trPr>
          <w:trHeight w:val="364"/>
        </w:trPr>
        <w:tc>
          <w:tcPr>
            <w:tcW w:w="9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F0B" w:rsidRDefault="00810F0B" w:rsidP="00427E18">
            <w:pPr>
              <w:spacing w:after="0"/>
              <w:jc w:val="center"/>
              <w:rPr>
                <w:i/>
              </w:rPr>
            </w:pPr>
          </w:p>
          <w:p w:rsidR="009F1C76" w:rsidRDefault="009F1C76" w:rsidP="00427E18">
            <w:pPr>
              <w:spacing w:after="0"/>
              <w:jc w:val="center"/>
              <w:rPr>
                <w:i/>
              </w:rPr>
            </w:pPr>
          </w:p>
          <w:p w:rsidR="00730D9E" w:rsidRDefault="00730D9E" w:rsidP="00427E18">
            <w:pPr>
              <w:spacing w:after="0"/>
              <w:jc w:val="center"/>
              <w:rPr>
                <w:i/>
              </w:rPr>
            </w:pPr>
          </w:p>
          <w:p w:rsidR="00730D9E" w:rsidRDefault="00730D9E" w:rsidP="00427E18">
            <w:pPr>
              <w:spacing w:after="0"/>
              <w:jc w:val="center"/>
              <w:rPr>
                <w:i/>
              </w:rPr>
            </w:pPr>
          </w:p>
          <w:p w:rsidR="00730D9E" w:rsidRDefault="00730D9E" w:rsidP="00427E18">
            <w:pPr>
              <w:spacing w:after="0"/>
              <w:jc w:val="center"/>
              <w:rPr>
                <w:i/>
              </w:rPr>
            </w:pPr>
          </w:p>
          <w:p w:rsidR="00730D9E" w:rsidRDefault="00730D9E" w:rsidP="00427E18">
            <w:pPr>
              <w:spacing w:after="0"/>
              <w:jc w:val="center"/>
              <w:rPr>
                <w:i/>
              </w:rPr>
            </w:pPr>
          </w:p>
          <w:p w:rsidR="00730D9E" w:rsidRDefault="00730D9E" w:rsidP="00427E18">
            <w:pPr>
              <w:spacing w:after="0"/>
              <w:jc w:val="center"/>
              <w:rPr>
                <w:i/>
              </w:rPr>
            </w:pPr>
          </w:p>
          <w:p w:rsidR="00730D9E" w:rsidRDefault="00730D9E" w:rsidP="00427E18">
            <w:pPr>
              <w:spacing w:after="0"/>
              <w:jc w:val="center"/>
              <w:rPr>
                <w:i/>
              </w:rPr>
            </w:pPr>
          </w:p>
          <w:p w:rsidR="00730D9E" w:rsidRDefault="00730D9E" w:rsidP="00427E18">
            <w:pPr>
              <w:spacing w:after="0"/>
              <w:jc w:val="center"/>
              <w:rPr>
                <w:i/>
              </w:rPr>
            </w:pPr>
          </w:p>
          <w:p w:rsidR="00730D9E" w:rsidRDefault="00730D9E" w:rsidP="00427E18">
            <w:pPr>
              <w:spacing w:after="0"/>
              <w:jc w:val="center"/>
              <w:rPr>
                <w:i/>
              </w:rPr>
            </w:pP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bookmarkStart w:id="0" w:name="_GoBack"/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  <w:bookmarkEnd w:id="0"/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CC3007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3007" w:rsidRPr="00D84899" w:rsidRDefault="00CC3007" w:rsidP="00CC3007">
            <w:pPr>
              <w:pStyle w:val="Odlomakpopisa"/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CC3007" w:rsidRDefault="00CC3007" w:rsidP="00CC3007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</w:t>
            </w:r>
            <w:r w:rsidRPr="00CC3007">
              <w:rPr>
                <w:sz w:val="20"/>
                <w:szCs w:val="20"/>
                <w:lang w:eastAsia="hr-HR"/>
              </w:rPr>
              <w:t xml:space="preserve">čenici </w:t>
            </w:r>
            <w:r w:rsidRPr="007E4945">
              <w:rPr>
                <w:b/>
                <w:sz w:val="20"/>
                <w:szCs w:val="20"/>
                <w:lang w:eastAsia="hr-HR"/>
              </w:rPr>
              <w:t>postavljaju</w:t>
            </w:r>
            <w:r w:rsidRPr="00CC3007">
              <w:rPr>
                <w:sz w:val="20"/>
                <w:szCs w:val="20"/>
                <w:lang w:eastAsia="hr-HR"/>
              </w:rPr>
              <w:t xml:space="preserve"> pitanja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7E4945">
              <w:rPr>
                <w:b/>
                <w:sz w:val="20"/>
                <w:szCs w:val="20"/>
                <w:lang w:eastAsia="hr-HR"/>
              </w:rPr>
              <w:t>zapisuju</w:t>
            </w:r>
            <w:r w:rsidRPr="00D84899">
              <w:rPr>
                <w:sz w:val="20"/>
                <w:szCs w:val="20"/>
                <w:lang w:eastAsia="hr-HR"/>
              </w:rPr>
              <w:t xml:space="preserve"> naslov</w:t>
            </w:r>
            <w:r>
              <w:rPr>
                <w:sz w:val="20"/>
                <w:szCs w:val="20"/>
                <w:lang w:eastAsia="hr-HR"/>
              </w:rPr>
              <w:t xml:space="preserve"> i </w:t>
            </w:r>
            <w:r w:rsidRPr="007E4945">
              <w:rPr>
                <w:b/>
                <w:sz w:val="20"/>
                <w:szCs w:val="20"/>
                <w:lang w:eastAsia="hr-HR"/>
              </w:rPr>
              <w:t>slušaju</w:t>
            </w:r>
            <w:r w:rsidRPr="00D84899">
              <w:rPr>
                <w:sz w:val="20"/>
                <w:szCs w:val="20"/>
                <w:lang w:eastAsia="hr-HR"/>
              </w:rPr>
              <w:t xml:space="preserve"> upute i pitanja učitelja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E5156A" w:rsidRDefault="00E5156A" w:rsidP="00E5156A">
            <w:pPr>
              <w:rPr>
                <w:b/>
                <w:bCs/>
                <w:sz w:val="20"/>
                <w:szCs w:val="20"/>
                <w:lang w:eastAsia="hr-HR"/>
              </w:rPr>
            </w:pPr>
          </w:p>
          <w:p w:rsidR="00E5156A" w:rsidRPr="00E45C0D" w:rsidRDefault="00E5156A" w:rsidP="00E5156A">
            <w:pPr>
              <w:rPr>
                <w:sz w:val="20"/>
                <w:szCs w:val="20"/>
                <w:lang w:eastAsia="hr-HR"/>
              </w:rPr>
            </w:pPr>
            <w:r w:rsidRPr="00E45C0D">
              <w:rPr>
                <w:b/>
                <w:bCs/>
                <w:sz w:val="20"/>
                <w:szCs w:val="20"/>
                <w:lang w:eastAsia="hr-HR"/>
              </w:rPr>
              <w:t>Promjena unutarnje energije radom</w:t>
            </w:r>
          </w:p>
          <w:p w:rsidR="00E5156A" w:rsidRPr="00E45C0D" w:rsidRDefault="009059F4" w:rsidP="00E5156A">
            <w:pPr>
              <w:rPr>
                <w:sz w:val="20"/>
                <w:szCs w:val="20"/>
                <w:lang w:eastAsia="hr-HR"/>
              </w:rPr>
            </w:pPr>
            <w:r w:rsidRPr="00A23A28">
              <w:rPr>
                <w:b/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3BFDEA92" wp14:editId="171CC2CD">
                  <wp:simplePos x="0" y="0"/>
                  <wp:positionH relativeFrom="column">
                    <wp:posOffset>4319905</wp:posOffset>
                  </wp:positionH>
                  <wp:positionV relativeFrom="paragraph">
                    <wp:posOffset>622300</wp:posOffset>
                  </wp:positionV>
                  <wp:extent cx="1438275" cy="1304925"/>
                  <wp:effectExtent l="0" t="0" r="9525" b="9525"/>
                  <wp:wrapSquare wrapText="bothSides"/>
                  <wp:docPr id="2" name="Slika 2" descr="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5156A" w:rsidRPr="00E45C0D">
              <w:rPr>
                <w:sz w:val="20"/>
                <w:szCs w:val="20"/>
                <w:lang w:eastAsia="hr-HR"/>
              </w:rPr>
              <w:t>Problemsku situaciju mogli bismo otvoriti opisujući zamišljeni pokus, primjerice, da čekićem ravnamo olovnu pločicu. P</w:t>
            </w:r>
            <w:r w:rsidR="00E5156A">
              <w:rPr>
                <w:sz w:val="20"/>
                <w:szCs w:val="20"/>
                <w:lang w:eastAsia="hr-HR"/>
              </w:rPr>
              <w:t>ozornost</w:t>
            </w:r>
            <w:r w:rsidR="00E5156A" w:rsidRPr="00E45C0D">
              <w:rPr>
                <w:sz w:val="20"/>
                <w:szCs w:val="20"/>
                <w:lang w:eastAsia="hr-HR"/>
              </w:rPr>
              <w:t>, umjesto na rad mišićne sile, usmjer</w:t>
            </w:r>
            <w:r w:rsidR="00E5156A">
              <w:rPr>
                <w:sz w:val="20"/>
                <w:szCs w:val="20"/>
                <w:lang w:eastAsia="hr-HR"/>
              </w:rPr>
              <w:t>uje</w:t>
            </w:r>
            <w:r w:rsidR="00E5156A" w:rsidRPr="00E45C0D">
              <w:rPr>
                <w:sz w:val="20"/>
                <w:szCs w:val="20"/>
                <w:lang w:eastAsia="hr-HR"/>
              </w:rPr>
              <w:t>mo na pretvorbu energije koja se tim radom događa. Čekić, dok njime zamahujemo, radimo, ima kinetičku energiju. Kad udari o pločicu, on se zaustavi.</w:t>
            </w:r>
          </w:p>
          <w:p w:rsidR="00E5156A" w:rsidRPr="00E45C0D" w:rsidRDefault="00E5156A" w:rsidP="00E5156A">
            <w:pPr>
              <w:pStyle w:val="Odlomakpopisa"/>
              <w:numPr>
                <w:ilvl w:val="0"/>
                <w:numId w:val="17"/>
              </w:numPr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E45C0D">
              <w:rPr>
                <w:i/>
                <w:iCs/>
                <w:sz w:val="20"/>
                <w:szCs w:val="20"/>
                <w:lang w:eastAsia="hr-HR"/>
              </w:rPr>
              <w:t>Kamo je nestala kinetička energija čekića?</w:t>
            </w:r>
          </w:p>
          <w:p w:rsidR="00E5156A" w:rsidRPr="00E45C0D" w:rsidRDefault="00E5156A" w:rsidP="00E5156A">
            <w:pPr>
              <w:pStyle w:val="Odlomakpopisa"/>
              <w:numPr>
                <w:ilvl w:val="0"/>
                <w:numId w:val="17"/>
              </w:numPr>
              <w:contextualSpacing/>
              <w:rPr>
                <w:sz w:val="20"/>
                <w:szCs w:val="20"/>
                <w:lang w:eastAsia="hr-HR"/>
              </w:rPr>
            </w:pPr>
            <w:r w:rsidRPr="00E45C0D">
              <w:rPr>
                <w:i/>
                <w:iCs/>
                <w:sz w:val="20"/>
                <w:szCs w:val="20"/>
                <w:lang w:eastAsia="hr-HR"/>
              </w:rPr>
              <w:t>Je li energija mogla nestati?</w:t>
            </w:r>
          </w:p>
          <w:p w:rsidR="00E5156A" w:rsidRPr="00E45C0D" w:rsidRDefault="00E5156A" w:rsidP="00E5156A">
            <w:pPr>
              <w:rPr>
                <w:sz w:val="20"/>
                <w:szCs w:val="20"/>
                <w:lang w:eastAsia="hr-HR"/>
              </w:rPr>
            </w:pPr>
            <w:r w:rsidRPr="00E45C0D">
              <w:rPr>
                <w:sz w:val="20"/>
                <w:szCs w:val="20"/>
                <w:lang w:eastAsia="hr-HR"/>
              </w:rPr>
              <w:t>Učenici iznose svoja mišljenja, a objašnjene</w:t>
            </w:r>
            <w:r>
              <w:rPr>
                <w:sz w:val="20"/>
                <w:szCs w:val="20"/>
                <w:lang w:eastAsia="hr-HR"/>
              </w:rPr>
              <w:t xml:space="preserve"> se</w:t>
            </w:r>
            <w:r w:rsidRPr="00E45C0D">
              <w:rPr>
                <w:sz w:val="20"/>
                <w:szCs w:val="20"/>
                <w:lang w:eastAsia="hr-HR"/>
              </w:rPr>
              <w:t xml:space="preserve"> pretpostavke  zapisuju.</w:t>
            </w:r>
          </w:p>
          <w:p w:rsidR="009059F4" w:rsidRDefault="00E5156A" w:rsidP="009059F4">
            <w:pPr>
              <w:rPr>
                <w:sz w:val="20"/>
                <w:szCs w:val="20"/>
                <w:lang w:eastAsia="hr-HR"/>
              </w:rPr>
            </w:pPr>
            <w:r w:rsidRPr="00E45C0D">
              <w:rPr>
                <w:sz w:val="20"/>
                <w:szCs w:val="20"/>
                <w:lang w:eastAsia="hr-HR"/>
              </w:rPr>
              <w:t>Nakon toga damo im čekić i tanku olovnu pločicu da</w:t>
            </w:r>
            <w:r>
              <w:rPr>
                <w:sz w:val="20"/>
                <w:szCs w:val="20"/>
                <w:lang w:eastAsia="hr-HR"/>
              </w:rPr>
              <w:t xml:space="preserve"> provjere</w:t>
            </w:r>
            <w:r w:rsidRPr="00E45C0D">
              <w:rPr>
                <w:sz w:val="20"/>
                <w:szCs w:val="20"/>
                <w:lang w:eastAsia="hr-HR"/>
              </w:rPr>
              <w:t xml:space="preserve"> svoje pretpostavke.</w:t>
            </w:r>
            <w:r w:rsidR="009059F4">
              <w:rPr>
                <w:sz w:val="20"/>
                <w:szCs w:val="20"/>
                <w:lang w:eastAsia="hr-HR"/>
              </w:rPr>
              <w:t xml:space="preserve">  </w:t>
            </w:r>
          </w:p>
          <w:p w:rsidR="00E5156A" w:rsidRDefault="00E5156A" w:rsidP="00E5156A">
            <w:pPr>
              <w:rPr>
                <w:sz w:val="20"/>
                <w:szCs w:val="20"/>
                <w:lang w:eastAsia="hr-HR"/>
              </w:rPr>
            </w:pPr>
            <w:r w:rsidRPr="00E45C0D">
              <w:rPr>
                <w:sz w:val="20"/>
                <w:szCs w:val="20"/>
                <w:lang w:eastAsia="hr-HR"/>
              </w:rPr>
              <w:t>Opisuju kako će izvesti pokus i zatim ga izvode kako je opisano u udžbeniku (str. 1</w:t>
            </w:r>
            <w:r>
              <w:rPr>
                <w:sz w:val="20"/>
                <w:szCs w:val="20"/>
                <w:lang w:eastAsia="hr-HR"/>
              </w:rPr>
              <w:t>1</w:t>
            </w:r>
            <w:r w:rsidRPr="00E45C0D">
              <w:rPr>
                <w:sz w:val="20"/>
                <w:szCs w:val="20"/>
                <w:lang w:eastAsia="hr-HR"/>
              </w:rPr>
              <w:t>3.).</w:t>
            </w:r>
            <w:r w:rsidR="009059F4">
              <w:rPr>
                <w:sz w:val="20"/>
                <w:szCs w:val="20"/>
                <w:lang w:eastAsia="hr-HR"/>
              </w:rPr>
              <w:t xml:space="preserve"> </w:t>
            </w:r>
          </w:p>
          <w:p w:rsidR="00E5156A" w:rsidRPr="00A23A28" w:rsidRDefault="009059F4" w:rsidP="009059F4">
            <w:pPr>
              <w:rPr>
                <w:b/>
                <w:sz w:val="20"/>
                <w:szCs w:val="20"/>
                <w:lang w:eastAsia="hr-HR"/>
              </w:rPr>
            </w:pPr>
            <w:r w:rsidRPr="009059F4">
              <w:rPr>
                <w:sz w:val="20"/>
                <w:szCs w:val="20"/>
                <w:lang w:eastAsia="hr-HR"/>
              </w:rPr>
              <w:t xml:space="preserve">Učenici </w:t>
            </w:r>
            <w:r w:rsidRPr="009059F4">
              <w:rPr>
                <w:b/>
                <w:sz w:val="20"/>
                <w:szCs w:val="20"/>
                <w:lang w:eastAsia="hr-HR"/>
              </w:rPr>
              <w:t>izvode pokus</w:t>
            </w:r>
            <w:r>
              <w:rPr>
                <w:b/>
                <w:sz w:val="20"/>
                <w:szCs w:val="20"/>
                <w:lang w:eastAsia="hr-HR"/>
              </w:rPr>
              <w:t xml:space="preserve">, </w:t>
            </w:r>
            <w:r w:rsidR="00E5156A" w:rsidRPr="00A23A28">
              <w:rPr>
                <w:b/>
                <w:sz w:val="20"/>
                <w:szCs w:val="20"/>
                <w:lang w:eastAsia="hr-HR"/>
              </w:rPr>
              <w:t>promatraju ishod pokusa</w:t>
            </w:r>
            <w:r>
              <w:rPr>
                <w:b/>
                <w:sz w:val="20"/>
                <w:szCs w:val="20"/>
                <w:lang w:eastAsia="hr-HR"/>
              </w:rPr>
              <w:t xml:space="preserve">, </w:t>
            </w:r>
            <w:r w:rsidR="00E5156A" w:rsidRPr="00A23A28">
              <w:rPr>
                <w:b/>
                <w:sz w:val="20"/>
                <w:szCs w:val="20"/>
                <w:lang w:eastAsia="hr-HR"/>
              </w:rPr>
              <w:t>uspoređuju ishod pokusa s pretpostavkom</w:t>
            </w:r>
            <w:r>
              <w:rPr>
                <w:b/>
                <w:sz w:val="20"/>
                <w:szCs w:val="20"/>
                <w:lang w:eastAsia="hr-HR"/>
              </w:rPr>
              <w:t xml:space="preserve">, </w:t>
            </w:r>
            <w:r w:rsidR="00E5156A" w:rsidRPr="00A23A28">
              <w:rPr>
                <w:b/>
                <w:sz w:val="20"/>
                <w:szCs w:val="20"/>
                <w:lang w:eastAsia="hr-HR"/>
              </w:rPr>
              <w:t xml:space="preserve">zapisuju opažanje </w:t>
            </w:r>
          </w:p>
          <w:p w:rsidR="00CC3007" w:rsidRPr="00D84899" w:rsidRDefault="00CC3007" w:rsidP="002002E0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</w:tc>
      </w:tr>
      <w:tr w:rsidR="00CC3007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3007" w:rsidRDefault="00CC3007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E5156A" w:rsidTr="00ED0EEB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156A" w:rsidRPr="00E45C0D" w:rsidRDefault="00E5156A" w:rsidP="009B7113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E45C0D">
              <w:rPr>
                <w:bCs/>
                <w:color w:val="000000"/>
                <w:sz w:val="20"/>
                <w:szCs w:val="20"/>
              </w:rPr>
              <w:t>Pokus pokazuje da se kinetička energija, mehanički rad čekića pretvorio u unutarnju ener</w:t>
            </w:r>
            <w:r w:rsidRPr="00E45C0D">
              <w:rPr>
                <w:bCs/>
                <w:color w:val="000000"/>
                <w:sz w:val="20"/>
                <w:szCs w:val="20"/>
              </w:rPr>
              <w:softHyphen/>
              <w:t>giju jer na to upućuje porast temperature olovne pločice.</w:t>
            </w:r>
          </w:p>
          <w:p w:rsidR="00E5156A" w:rsidRPr="00E45C0D" w:rsidRDefault="00E5156A" w:rsidP="009B7113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E45C0D">
              <w:rPr>
                <w:bCs/>
                <w:color w:val="000000"/>
                <w:sz w:val="20"/>
                <w:szCs w:val="20"/>
              </w:rPr>
              <w:t>Pitanje kamo je nestala kinetička energija čekića upućuje nas</w:t>
            </w:r>
            <w:r>
              <w:rPr>
                <w:bCs/>
                <w:color w:val="000000"/>
                <w:sz w:val="20"/>
                <w:szCs w:val="20"/>
              </w:rPr>
              <w:t xml:space="preserve"> na to</w:t>
            </w:r>
            <w:r w:rsidRPr="00E45C0D">
              <w:rPr>
                <w:bCs/>
                <w:color w:val="000000"/>
                <w:sz w:val="20"/>
                <w:szCs w:val="20"/>
              </w:rPr>
              <w:t xml:space="preserve"> da </w:t>
            </w:r>
            <w:r>
              <w:rPr>
                <w:bCs/>
                <w:color w:val="000000"/>
                <w:sz w:val="20"/>
                <w:szCs w:val="20"/>
              </w:rPr>
              <w:t>nastavu vo</w:t>
            </w:r>
            <w:r w:rsidRPr="00E45C0D">
              <w:rPr>
                <w:bCs/>
                <w:color w:val="000000"/>
                <w:sz w:val="20"/>
                <w:szCs w:val="20"/>
              </w:rPr>
              <w:t xml:space="preserve">dimo u skladu s metodičkim načelom </w:t>
            </w:r>
            <w:r w:rsidRPr="00E45C0D">
              <w:rPr>
                <w:b/>
                <w:bCs/>
                <w:color w:val="000000"/>
                <w:sz w:val="20"/>
                <w:szCs w:val="20"/>
              </w:rPr>
              <w:t>što si učinio, što si opazio</w:t>
            </w:r>
            <w:r w:rsidRPr="00E45C0D"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E45C0D">
              <w:rPr>
                <w:b/>
                <w:bCs/>
                <w:color w:val="000000"/>
                <w:sz w:val="20"/>
                <w:szCs w:val="20"/>
              </w:rPr>
              <w:t>kako to objašnjavaš</w:t>
            </w:r>
            <w:r w:rsidRPr="00E45C0D">
              <w:rPr>
                <w:bCs/>
                <w:color w:val="000000"/>
                <w:sz w:val="20"/>
                <w:szCs w:val="20"/>
              </w:rPr>
              <w:t xml:space="preserve">, kako bismo učenicima dali priliku za što samostalnije objašnjavanje. </w:t>
            </w:r>
          </w:p>
          <w:p w:rsidR="00E5156A" w:rsidRPr="00E45C0D" w:rsidRDefault="00E5156A" w:rsidP="00E5156A">
            <w:pPr>
              <w:pStyle w:val="Odlomakpopisa"/>
              <w:numPr>
                <w:ilvl w:val="0"/>
                <w:numId w:val="19"/>
              </w:numPr>
              <w:spacing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E45C0D">
              <w:rPr>
                <w:bCs/>
                <w:color w:val="000000"/>
                <w:sz w:val="20"/>
                <w:szCs w:val="20"/>
              </w:rPr>
              <w:t>Preostaje objasniti zašto se povećala temperatura pločice. Podsjetimo učenike na vezu makro</w:t>
            </w:r>
            <w:r>
              <w:rPr>
                <w:bCs/>
                <w:color w:val="000000"/>
                <w:sz w:val="20"/>
                <w:szCs w:val="20"/>
              </w:rPr>
              <w:t>svijeta</w:t>
            </w:r>
            <w:r w:rsidRPr="006C7557"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E45C0D">
              <w:rPr>
                <w:bCs/>
                <w:color w:val="000000"/>
                <w:sz w:val="20"/>
                <w:szCs w:val="20"/>
              </w:rPr>
              <w:t>mikrosvijeta te molekularno</w:t>
            </w:r>
            <w:r>
              <w:rPr>
                <w:bCs/>
                <w:color w:val="000000"/>
                <w:sz w:val="20"/>
                <w:szCs w:val="20"/>
              </w:rPr>
              <w:t>-</w:t>
            </w:r>
            <w:r w:rsidRPr="00E45C0D">
              <w:rPr>
                <w:bCs/>
                <w:color w:val="000000"/>
                <w:sz w:val="20"/>
                <w:szCs w:val="20"/>
              </w:rPr>
              <w:t>kinetičku teoriju.</w:t>
            </w:r>
          </w:p>
          <w:p w:rsidR="00E5156A" w:rsidRPr="00E45C0D" w:rsidRDefault="00E5156A" w:rsidP="00E5156A">
            <w:pPr>
              <w:pStyle w:val="Odlomakpopisa"/>
              <w:numPr>
                <w:ilvl w:val="0"/>
                <w:numId w:val="19"/>
              </w:numPr>
              <w:spacing w:line="240" w:lineRule="auto"/>
              <w:contextualSpacing/>
              <w:rPr>
                <w:bCs/>
                <w:i/>
                <w:color w:val="000000"/>
                <w:sz w:val="20"/>
                <w:szCs w:val="20"/>
              </w:rPr>
            </w:pPr>
            <w:r w:rsidRPr="00E45C0D">
              <w:rPr>
                <w:bCs/>
                <w:i/>
                <w:color w:val="000000"/>
                <w:sz w:val="20"/>
                <w:szCs w:val="20"/>
              </w:rPr>
              <w:t>Kako objasniti promjenu oblika</w:t>
            </w:r>
            <w:r w:rsidRPr="006C7557">
              <w:rPr>
                <w:bCs/>
                <w:i/>
                <w:color w:val="000000"/>
                <w:sz w:val="20"/>
                <w:szCs w:val="20"/>
              </w:rPr>
              <w:t xml:space="preserve"> i </w:t>
            </w:r>
            <w:r w:rsidRPr="00E45C0D">
              <w:rPr>
                <w:bCs/>
                <w:i/>
                <w:color w:val="000000"/>
                <w:sz w:val="20"/>
                <w:szCs w:val="20"/>
              </w:rPr>
              <w:t>zagrijanost pločice?</w:t>
            </w:r>
          </w:p>
          <w:p w:rsidR="00E5156A" w:rsidRPr="00E45C0D" w:rsidRDefault="00E5156A" w:rsidP="009B7113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E45C0D">
              <w:rPr>
                <w:bCs/>
                <w:color w:val="000000"/>
                <w:sz w:val="20"/>
                <w:szCs w:val="20"/>
              </w:rPr>
              <w:t xml:space="preserve">Kinetička energija zaustavljenog čekića dijelom je prešla na čestice pločice i čekića. Zbog toga se gibanje čestica pojačalo, što znači da se povećala njihova </w:t>
            </w:r>
            <w:r w:rsidRPr="00E45C0D">
              <w:rPr>
                <w:b/>
                <w:bCs/>
                <w:color w:val="000000"/>
                <w:sz w:val="20"/>
                <w:szCs w:val="20"/>
              </w:rPr>
              <w:t>kinetička</w:t>
            </w:r>
            <w:r w:rsidRPr="00E45C0D">
              <w:rPr>
                <w:bCs/>
                <w:color w:val="000000"/>
                <w:sz w:val="20"/>
                <w:szCs w:val="20"/>
              </w:rPr>
              <w:t xml:space="preserve"> energija. Isto</w:t>
            </w:r>
            <w:r>
              <w:rPr>
                <w:bCs/>
                <w:color w:val="000000"/>
                <w:sz w:val="20"/>
                <w:szCs w:val="20"/>
              </w:rPr>
              <w:t>dob</w:t>
            </w:r>
            <w:r w:rsidRPr="00E45C0D">
              <w:rPr>
                <w:bCs/>
                <w:color w:val="000000"/>
                <w:sz w:val="20"/>
                <w:szCs w:val="20"/>
              </w:rPr>
              <w:t xml:space="preserve">no opažamo deformaciju (izobličenje) pločice kao posljedicu promjene položaja njezinih čestica, promjena </w:t>
            </w:r>
            <w:r w:rsidRPr="00E45C0D">
              <w:rPr>
                <w:b/>
                <w:bCs/>
                <w:color w:val="000000"/>
                <w:sz w:val="20"/>
                <w:szCs w:val="20"/>
              </w:rPr>
              <w:t>potencijalne</w:t>
            </w:r>
            <w:r w:rsidRPr="00E45C0D">
              <w:rPr>
                <w:bCs/>
                <w:color w:val="000000"/>
                <w:sz w:val="20"/>
                <w:szCs w:val="20"/>
              </w:rPr>
              <w:t xml:space="preserve"> energije čestica. </w:t>
            </w:r>
          </w:p>
          <w:p w:rsidR="00E5156A" w:rsidRPr="00E45C0D" w:rsidRDefault="00E5156A" w:rsidP="009B7113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E45C0D">
              <w:rPr>
                <w:bCs/>
                <w:color w:val="000000"/>
                <w:sz w:val="20"/>
                <w:szCs w:val="20"/>
              </w:rPr>
              <w:t>Sve to upućuje na povećanje unutarnje energije čestica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Pr="00E45C0D">
              <w:rPr>
                <w:bCs/>
                <w:color w:val="000000"/>
                <w:sz w:val="20"/>
                <w:szCs w:val="20"/>
              </w:rPr>
              <w:t xml:space="preserve"> što smo osjetili kao povećanje temperature.</w:t>
            </w:r>
          </w:p>
          <w:p w:rsidR="00E5156A" w:rsidRPr="00E45C0D" w:rsidRDefault="00E5156A" w:rsidP="009B7113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E45C0D">
              <w:rPr>
                <w:bCs/>
                <w:color w:val="000000"/>
                <w:sz w:val="20"/>
                <w:szCs w:val="20"/>
              </w:rPr>
              <w:t>Naglasit ćemo dvije važne činjenice (izlaganjem ili pitanjem upućenim učenicima</w:t>
            </w:r>
            <w:r w:rsidRPr="006C7557">
              <w:rPr>
                <w:bCs/>
                <w:color w:val="000000"/>
                <w:sz w:val="20"/>
                <w:szCs w:val="20"/>
              </w:rPr>
              <w:t xml:space="preserve"> i </w:t>
            </w:r>
            <w:r w:rsidRPr="00E45C0D">
              <w:rPr>
                <w:bCs/>
                <w:color w:val="000000"/>
                <w:sz w:val="20"/>
                <w:szCs w:val="20"/>
              </w:rPr>
              <w:t>raspravom)</w:t>
            </w:r>
          </w:p>
          <w:p w:rsidR="00E5156A" w:rsidRPr="00E45C0D" w:rsidRDefault="00E5156A" w:rsidP="009B7113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E45C0D">
              <w:rPr>
                <w:bCs/>
                <w:color w:val="000000"/>
                <w:sz w:val="20"/>
                <w:szCs w:val="20"/>
              </w:rPr>
              <w:t>1.</w:t>
            </w:r>
            <w:r w:rsidRPr="00E45C0D">
              <w:rPr>
                <w:rFonts w:ascii="Slo SK TheSerif ExtraBoldPlain" w:hAnsi="Slo SK TheSerif ExtraBoldPlain"/>
                <w:bCs/>
                <w:color w:val="000000"/>
                <w:sz w:val="20"/>
                <w:szCs w:val="20"/>
              </w:rPr>
              <w:t xml:space="preserve"> </w:t>
            </w:r>
            <w:r w:rsidRPr="00E45C0D">
              <w:rPr>
                <w:bCs/>
                <w:color w:val="000000"/>
                <w:sz w:val="20"/>
                <w:szCs w:val="20"/>
              </w:rPr>
              <w:t xml:space="preserve">Tijelu možemo povećati unutarnju energiju </w:t>
            </w:r>
            <w:r w:rsidRPr="00E45C0D">
              <w:rPr>
                <w:b/>
                <w:bCs/>
                <w:color w:val="000000"/>
                <w:sz w:val="20"/>
                <w:szCs w:val="20"/>
              </w:rPr>
              <w:t>radom neke vanjske sile 2.</w:t>
            </w:r>
            <w:r w:rsidRPr="00E45C0D">
              <w:rPr>
                <w:bCs/>
                <w:color w:val="000000"/>
                <w:sz w:val="20"/>
                <w:szCs w:val="20"/>
              </w:rPr>
              <w:t xml:space="preserve"> I ovdje vrijedi zakon očuvanja energije.</w:t>
            </w:r>
          </w:p>
          <w:p w:rsidR="009059F4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5C0D">
              <w:rPr>
                <w:sz w:val="20"/>
                <w:szCs w:val="20"/>
              </w:rPr>
              <w:t>Rasprava o pretvorbi unutarnje energije može se nastaviti i pokusom s pum</w:t>
            </w:r>
            <w:r w:rsidRPr="00E45C0D">
              <w:rPr>
                <w:sz w:val="20"/>
                <w:szCs w:val="20"/>
              </w:rPr>
              <w:softHyphen/>
              <w:t>pom opisanim u udžbeniku (str. 1</w:t>
            </w:r>
            <w:r>
              <w:rPr>
                <w:sz w:val="20"/>
                <w:szCs w:val="20"/>
              </w:rPr>
              <w:t>14</w:t>
            </w:r>
            <w:r w:rsidRPr="00E45C0D">
              <w:rPr>
                <w:sz w:val="20"/>
                <w:szCs w:val="20"/>
              </w:rPr>
              <w:t>.). Pokus možemo izvesti na satu ili će učenici opisati svoje iskustvo. Zbog sabijanja zraka molekule se u manjem</w:t>
            </w:r>
            <w:r>
              <w:rPr>
                <w:sz w:val="20"/>
                <w:szCs w:val="20"/>
              </w:rPr>
              <w:t>u</w:t>
            </w:r>
            <w:r w:rsidRPr="00E45C0D">
              <w:rPr>
                <w:sz w:val="20"/>
                <w:szCs w:val="20"/>
              </w:rPr>
              <w:t xml:space="preserve"> pro</w:t>
            </w:r>
            <w:r w:rsidRPr="00E45C0D">
              <w:rPr>
                <w:sz w:val="20"/>
                <w:szCs w:val="20"/>
              </w:rPr>
              <w:softHyphen/>
              <w:t>sto</w:t>
            </w:r>
            <w:r w:rsidRPr="00E45C0D">
              <w:rPr>
                <w:sz w:val="20"/>
                <w:szCs w:val="20"/>
              </w:rPr>
              <w:softHyphen/>
              <w:t>ru brže gibaju i gomilaju. Time se povećava njihova i potencijalna i kinetička energija. Po</w:t>
            </w:r>
            <w:r w:rsidRPr="00E45C0D">
              <w:rPr>
                <w:sz w:val="20"/>
                <w:szCs w:val="20"/>
              </w:rPr>
              <w:softHyphen/>
              <w:t>slje</w:t>
            </w:r>
            <w:r w:rsidRPr="00E45C0D">
              <w:rPr>
                <w:sz w:val="20"/>
                <w:szCs w:val="20"/>
              </w:rPr>
              <w:softHyphen/>
              <w:t xml:space="preserve">dica toga jest povećanje unutarnje energije zraka i tlačne pumpe. </w:t>
            </w:r>
          </w:p>
          <w:p w:rsidR="009059F4" w:rsidRDefault="009059F4" w:rsidP="009059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</w:p>
          <w:p w:rsidR="009059F4" w:rsidRPr="009059F4" w:rsidRDefault="009059F4" w:rsidP="009059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 w:rsidRPr="009059F4">
              <w:rPr>
                <w:b/>
                <w:sz w:val="20"/>
                <w:szCs w:val="20"/>
                <w:lang w:eastAsia="hr-HR"/>
              </w:rPr>
              <w:t>Učenici opisuju primjer s pumpom ili izvode pokus pa opisuju posljedice, zaključuju da je to obratan proces od prethodno promatranoga. Predviđaju odgovor, zapisuju pretpostavke</w:t>
            </w:r>
          </w:p>
          <w:p w:rsidR="009059F4" w:rsidRPr="00E45C0D" w:rsidRDefault="009059F4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7804EAB1" wp14:editId="6FAC8042">
                  <wp:simplePos x="0" y="0"/>
                  <wp:positionH relativeFrom="column">
                    <wp:posOffset>3872230</wp:posOffset>
                  </wp:positionH>
                  <wp:positionV relativeFrom="paragraph">
                    <wp:posOffset>-936625</wp:posOffset>
                  </wp:positionV>
                  <wp:extent cx="1899920" cy="1619250"/>
                  <wp:effectExtent l="0" t="0" r="5080" b="0"/>
                  <wp:wrapSquare wrapText="bothSides"/>
                  <wp:docPr id="1" name="Slika 1" descr="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156A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5C0D">
              <w:rPr>
                <w:b/>
                <w:sz w:val="20"/>
                <w:szCs w:val="20"/>
              </w:rPr>
              <w:t xml:space="preserve">Unutarnju energiju povećali smo radom </w:t>
            </w:r>
            <w:r w:rsidRPr="00E45C0D">
              <w:rPr>
                <w:sz w:val="20"/>
                <w:szCs w:val="20"/>
              </w:rPr>
              <w:t>u opisanim primjerima.</w:t>
            </w:r>
          </w:p>
          <w:p w:rsidR="00E5156A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9059F4" w:rsidRDefault="009059F4" w:rsidP="009B711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9059F4" w:rsidRPr="00E45C0D" w:rsidRDefault="009059F4" w:rsidP="009B711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E5156A" w:rsidRPr="00E45C0D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E45C0D">
              <w:rPr>
                <w:b/>
                <w:bCs/>
                <w:sz w:val="20"/>
                <w:szCs w:val="20"/>
              </w:rPr>
              <w:t>Promjena unutarnje energije toplinom</w:t>
            </w:r>
          </w:p>
          <w:p w:rsidR="00E5156A" w:rsidRPr="00E45C0D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E5156A" w:rsidRPr="00E45C0D" w:rsidRDefault="00E5156A" w:rsidP="00E5156A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sz w:val="20"/>
                <w:szCs w:val="20"/>
              </w:rPr>
            </w:pPr>
            <w:r w:rsidRPr="00E45C0D">
              <w:rPr>
                <w:i/>
                <w:sz w:val="20"/>
                <w:szCs w:val="20"/>
              </w:rPr>
              <w:t>Možemo li unutarnju energiju tijela pov</w:t>
            </w:r>
            <w:r>
              <w:rPr>
                <w:i/>
                <w:sz w:val="20"/>
                <w:szCs w:val="20"/>
              </w:rPr>
              <w:t>e</w:t>
            </w:r>
            <w:r w:rsidRPr="00E45C0D">
              <w:rPr>
                <w:i/>
                <w:sz w:val="20"/>
                <w:szCs w:val="20"/>
              </w:rPr>
              <w:t>ćati i na neki drugi način?</w:t>
            </w:r>
          </w:p>
          <w:p w:rsidR="00E5156A" w:rsidRPr="00E45C0D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5C0D">
              <w:rPr>
                <w:sz w:val="20"/>
                <w:szCs w:val="20"/>
              </w:rPr>
              <w:t xml:space="preserve">Učenici će se dosjetiti da je to moguće zagrijavanjem tijela, dovođenjem topline. Nakon toga pitamo: </w:t>
            </w:r>
          </w:p>
          <w:p w:rsidR="00E5156A" w:rsidRPr="00E45C0D" w:rsidRDefault="00E5156A" w:rsidP="00E5156A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sz w:val="20"/>
                <w:szCs w:val="20"/>
              </w:rPr>
            </w:pPr>
            <w:r w:rsidRPr="00E45C0D">
              <w:rPr>
                <w:i/>
                <w:sz w:val="20"/>
                <w:szCs w:val="20"/>
              </w:rPr>
              <w:t>Može li unutarnja energija obaviti rad?</w:t>
            </w:r>
          </w:p>
          <w:p w:rsidR="00E5156A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5C0D">
              <w:rPr>
                <w:sz w:val="20"/>
                <w:szCs w:val="20"/>
              </w:rPr>
              <w:t>Pitanje upućuje na proces obratan procesu koj</w:t>
            </w:r>
            <w:r>
              <w:rPr>
                <w:sz w:val="20"/>
                <w:szCs w:val="20"/>
              </w:rPr>
              <w:t>i</w:t>
            </w:r>
            <w:r w:rsidRPr="00E45C0D">
              <w:rPr>
                <w:sz w:val="20"/>
                <w:szCs w:val="20"/>
              </w:rPr>
              <w:t xml:space="preserve"> smo proučili u pokusima s čekićem i pumpom. </w:t>
            </w:r>
          </w:p>
          <w:p w:rsidR="009059F4" w:rsidRDefault="009059F4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059F4" w:rsidRPr="00E45C0D" w:rsidRDefault="009059F4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156A" w:rsidRPr="00E45C0D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5C0D">
              <w:rPr>
                <w:sz w:val="20"/>
                <w:szCs w:val="20"/>
              </w:rPr>
              <w:t xml:space="preserve">Neka učenici zapišu pretpostavke pa istraže pokusom. </w:t>
            </w:r>
            <w:r>
              <w:rPr>
                <w:sz w:val="20"/>
                <w:szCs w:val="20"/>
              </w:rPr>
              <w:t>Svrha</w:t>
            </w:r>
            <w:r w:rsidRPr="00E45C0D">
              <w:rPr>
                <w:sz w:val="20"/>
                <w:szCs w:val="20"/>
              </w:rPr>
              <w:t xml:space="preserve"> je da učenici samostalno dođu do odgovora, izvođenjem pokusa opisanog na str.</w:t>
            </w:r>
            <w:r>
              <w:rPr>
                <w:sz w:val="20"/>
                <w:szCs w:val="20"/>
              </w:rPr>
              <w:t xml:space="preserve"> </w:t>
            </w:r>
            <w:r w:rsidRPr="00E45C0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="009059F4">
              <w:rPr>
                <w:sz w:val="20"/>
                <w:szCs w:val="20"/>
              </w:rPr>
              <w:t>2</w:t>
            </w:r>
            <w:r w:rsidRPr="00E45C0D">
              <w:rPr>
                <w:sz w:val="20"/>
                <w:szCs w:val="20"/>
              </w:rPr>
              <w:t>. u udžbeniku . Za taj pokus trebamo</w:t>
            </w:r>
            <w:r>
              <w:rPr>
                <w:sz w:val="20"/>
                <w:szCs w:val="20"/>
              </w:rPr>
              <w:t xml:space="preserve"> više</w:t>
            </w:r>
            <w:r w:rsidRPr="00E45C0D">
              <w:rPr>
                <w:sz w:val="20"/>
                <w:szCs w:val="20"/>
              </w:rPr>
              <w:t xml:space="preserve"> tikvica tako da što više učenika sudjeluje u istraživanju. </w:t>
            </w:r>
          </w:p>
          <w:p w:rsidR="00E5156A" w:rsidRPr="00E45C0D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156A" w:rsidRPr="00E45C0D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E45C0D">
              <w:rPr>
                <w:b/>
                <w:sz w:val="20"/>
                <w:szCs w:val="20"/>
              </w:rPr>
              <w:t>Pokus</w:t>
            </w:r>
          </w:p>
          <w:p w:rsidR="00E5156A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5C0D">
              <w:rPr>
                <w:sz w:val="20"/>
                <w:szCs w:val="20"/>
              </w:rPr>
              <w:t>Nakon rasprave o rezultatima pokusa možemo izvesti frontalni demonstracijski pokus s tikvicom i čepom koji izlijeće nakon što smo tikvicu dobro zagrijali</w:t>
            </w:r>
            <w:r>
              <w:rPr>
                <w:sz w:val="20"/>
                <w:szCs w:val="20"/>
              </w:rPr>
              <w:t xml:space="preserve"> ili pogledati videozapis.</w:t>
            </w:r>
          </w:p>
          <w:p w:rsidR="009059F4" w:rsidRDefault="009059F4" w:rsidP="009059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</w:p>
          <w:p w:rsidR="009059F4" w:rsidRPr="009059F4" w:rsidRDefault="009059F4" w:rsidP="009059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 w:rsidRPr="009059F4">
              <w:rPr>
                <w:b/>
                <w:sz w:val="20"/>
                <w:szCs w:val="20"/>
                <w:lang w:eastAsia="hr-HR"/>
              </w:rPr>
              <w:t>Učenici izvode pokus</w:t>
            </w:r>
            <w:r>
              <w:rPr>
                <w:b/>
                <w:sz w:val="20"/>
                <w:szCs w:val="20"/>
                <w:lang w:eastAsia="hr-HR"/>
              </w:rPr>
              <w:t xml:space="preserve"> ili gledaju demonstracijski pokus</w:t>
            </w:r>
            <w:r w:rsidRPr="009059F4">
              <w:rPr>
                <w:b/>
                <w:sz w:val="20"/>
                <w:szCs w:val="20"/>
                <w:lang w:eastAsia="hr-HR"/>
              </w:rPr>
              <w:t xml:space="preserve">, crtaju pokus, zapisuju opažanje i zaključak. Odgovaraju na pitanje – zapisuju pretpostavku </w:t>
            </w:r>
          </w:p>
          <w:p w:rsidR="009059F4" w:rsidRPr="00E45C0D" w:rsidRDefault="009059F4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156A" w:rsidRPr="00E45C0D" w:rsidRDefault="00E5156A" w:rsidP="00E5156A">
            <w:pPr>
              <w:pStyle w:val="Odlomakpopis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i/>
                <w:sz w:val="20"/>
                <w:szCs w:val="20"/>
              </w:rPr>
            </w:pPr>
            <w:r w:rsidRPr="00E45C0D">
              <w:rPr>
                <w:i/>
                <w:sz w:val="20"/>
                <w:szCs w:val="20"/>
              </w:rPr>
              <w:t xml:space="preserve">Što će se dogoditi zagrijemo li začepljenu tikvicu u kojoj je zrak? </w:t>
            </w:r>
          </w:p>
          <w:p w:rsidR="00E5156A" w:rsidRPr="00E45C0D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5C0D">
              <w:rPr>
                <w:sz w:val="20"/>
                <w:szCs w:val="20"/>
              </w:rPr>
              <w:t xml:space="preserve">Nakon što učenici zapišu pretpostavku izvodimo pokus. </w:t>
            </w:r>
          </w:p>
          <w:p w:rsidR="00E5156A" w:rsidRPr="00E45C0D" w:rsidRDefault="00E5156A" w:rsidP="009B7113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E45C0D">
              <w:rPr>
                <w:bCs/>
                <w:color w:val="000000"/>
                <w:sz w:val="20"/>
                <w:szCs w:val="20"/>
              </w:rPr>
              <w:t>Tikvicu lagano zatvorimo gumenim čepom i polako je zagrijavamo na plamenu plamenika. Nakon kraćeg zagrijavanja, čep izleti iz grla tikvice.</w:t>
            </w:r>
          </w:p>
          <w:p w:rsidR="00E5156A" w:rsidRPr="00E45C0D" w:rsidRDefault="00E5156A" w:rsidP="009B7113">
            <w:pPr>
              <w:pStyle w:val="Odlomakpopisa"/>
              <w:numPr>
                <w:ilvl w:val="0"/>
                <w:numId w:val="17"/>
              </w:numPr>
              <w:spacing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 w:rsidRPr="00E45C0D">
              <w:rPr>
                <w:bCs/>
                <w:i/>
                <w:iCs/>
                <w:color w:val="000000"/>
                <w:sz w:val="20"/>
                <w:szCs w:val="20"/>
              </w:rPr>
              <w:t>Zašto je čep izletio?</w:t>
            </w:r>
          </w:p>
          <w:p w:rsidR="00E5156A" w:rsidRPr="00E45C0D" w:rsidRDefault="00E5156A" w:rsidP="009B7113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E45C0D">
              <w:rPr>
                <w:bCs/>
                <w:color w:val="000000"/>
                <w:sz w:val="20"/>
                <w:szCs w:val="20"/>
              </w:rPr>
              <w:t>Neka učenici samostalno, na čestičnoj razini, pokušaju objas</w:t>
            </w: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E45C0D">
              <w:rPr>
                <w:bCs/>
                <w:color w:val="000000"/>
                <w:sz w:val="20"/>
                <w:szCs w:val="20"/>
              </w:rPr>
              <w:t>iti zašto je čep izletio.</w:t>
            </w:r>
          </w:p>
          <w:p w:rsidR="00E5156A" w:rsidRDefault="00E5156A" w:rsidP="009B7113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E45C0D">
              <w:rPr>
                <w:bCs/>
                <w:color w:val="000000"/>
                <w:sz w:val="20"/>
                <w:szCs w:val="20"/>
              </w:rPr>
              <w:t>Učenici će vjerojatno objasniti da se zagrijavanjem u tikvici povećala unutarnja energija, što znači brzina molekula. Kako je tikvica zatvorena čepom, zrak nije mogao povećati obujam pa se povećao broj udaraca na stijenke posude, tako i na čep, zbog čega je i izletio.</w:t>
            </w:r>
          </w:p>
          <w:p w:rsidR="009059F4" w:rsidRPr="009059F4" w:rsidRDefault="009059F4" w:rsidP="009059F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 w:rsidRPr="009059F4">
              <w:rPr>
                <w:b/>
                <w:sz w:val="20"/>
                <w:szCs w:val="20"/>
                <w:lang w:eastAsia="hr-HR"/>
              </w:rPr>
              <w:t>Učenici ishod pokusa uspoređuju s pretpostavkom i objašnjavaju ishod pokusa molekularno-kinetičkom teorijom</w:t>
            </w:r>
          </w:p>
          <w:p w:rsidR="009059F4" w:rsidRDefault="009059F4" w:rsidP="009B711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E5156A" w:rsidRPr="00E45C0D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5C0D">
              <w:rPr>
                <w:bCs/>
                <w:color w:val="000000"/>
                <w:sz w:val="20"/>
                <w:szCs w:val="20"/>
              </w:rPr>
              <w:t>Broj</w:t>
            </w:r>
            <w:r>
              <w:rPr>
                <w:bCs/>
                <w:color w:val="000000"/>
                <w:sz w:val="20"/>
                <w:szCs w:val="20"/>
              </w:rPr>
              <w:t xml:space="preserve"> se</w:t>
            </w:r>
            <w:r w:rsidRPr="00E45C0D">
              <w:rPr>
                <w:bCs/>
                <w:color w:val="000000"/>
                <w:sz w:val="20"/>
                <w:szCs w:val="20"/>
              </w:rPr>
              <w:t xml:space="preserve"> udaraca povećao jer su se uz višu temperaturu molekule življe gibale i češće udarale o stijenke (povećao se tlak). Takvo češće udaranje o stijenke posude može uzrokovati eksploziju.</w:t>
            </w:r>
          </w:p>
          <w:p w:rsidR="00E5156A" w:rsidRPr="00E45C0D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156A" w:rsidRPr="00E45C0D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45C0D">
              <w:rPr>
                <w:sz w:val="20"/>
                <w:szCs w:val="20"/>
              </w:rPr>
              <w:t>U oba</w:t>
            </w:r>
            <w:r>
              <w:rPr>
                <w:sz w:val="20"/>
                <w:szCs w:val="20"/>
              </w:rPr>
              <w:t>ma</w:t>
            </w:r>
            <w:r w:rsidRPr="00E45C0D">
              <w:rPr>
                <w:sz w:val="20"/>
                <w:szCs w:val="20"/>
              </w:rPr>
              <w:t xml:space="preserve"> pokus</w:t>
            </w:r>
            <w:r>
              <w:rPr>
                <w:sz w:val="20"/>
                <w:szCs w:val="20"/>
              </w:rPr>
              <w:t>im</w:t>
            </w:r>
            <w:r w:rsidRPr="00E45C0D">
              <w:rPr>
                <w:sz w:val="20"/>
                <w:szCs w:val="20"/>
              </w:rPr>
              <w:t xml:space="preserve">a obavljen je rad na račun povećane unutarnje energije zraka u bočici. Naglasit ćemo </w:t>
            </w:r>
            <w:r w:rsidRPr="00E45C0D">
              <w:rPr>
                <w:bCs/>
                <w:sz w:val="20"/>
                <w:szCs w:val="20"/>
              </w:rPr>
              <w:t>(izlaganjem ili pitanjem upućenim učenicima):</w:t>
            </w:r>
          </w:p>
          <w:p w:rsidR="00E5156A" w:rsidRPr="00E45C0D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E45C0D">
              <w:rPr>
                <w:bCs/>
                <w:sz w:val="20"/>
                <w:szCs w:val="20"/>
              </w:rPr>
              <w:t xml:space="preserve">1. </w:t>
            </w:r>
            <w:r>
              <w:rPr>
                <w:bCs/>
                <w:sz w:val="20"/>
                <w:szCs w:val="20"/>
              </w:rPr>
              <w:t>r</w:t>
            </w:r>
            <w:r w:rsidRPr="00E45C0D">
              <w:rPr>
                <w:bCs/>
                <w:sz w:val="20"/>
                <w:szCs w:val="20"/>
              </w:rPr>
              <w:t>ad možemo obaviti na račun unutarnje energije</w:t>
            </w:r>
            <w:r>
              <w:rPr>
                <w:bCs/>
                <w:sz w:val="20"/>
                <w:szCs w:val="20"/>
              </w:rPr>
              <w:t>,</w:t>
            </w:r>
            <w:r w:rsidRPr="00E45C0D">
              <w:rPr>
                <w:bCs/>
                <w:sz w:val="20"/>
                <w:szCs w:val="20"/>
              </w:rPr>
              <w:t xml:space="preserve"> </w:t>
            </w:r>
          </w:p>
          <w:p w:rsidR="00E5156A" w:rsidRPr="00E45C0D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5C0D">
              <w:rPr>
                <w:bCs/>
                <w:sz w:val="20"/>
                <w:szCs w:val="20"/>
              </w:rPr>
              <w:t xml:space="preserve">2. </w:t>
            </w:r>
            <w:r>
              <w:rPr>
                <w:bCs/>
                <w:sz w:val="20"/>
                <w:szCs w:val="20"/>
              </w:rPr>
              <w:t>i</w:t>
            </w:r>
            <w:r w:rsidRPr="00E45C0D">
              <w:rPr>
                <w:bCs/>
                <w:sz w:val="20"/>
                <w:szCs w:val="20"/>
              </w:rPr>
              <w:t xml:space="preserve"> ovdje vrijedi zakon očuvanja energije.</w:t>
            </w:r>
          </w:p>
          <w:p w:rsidR="00E5156A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5C0D">
              <w:rPr>
                <w:sz w:val="20"/>
                <w:szCs w:val="20"/>
              </w:rPr>
              <w:t xml:space="preserve">Opisat ćemo i dodatne primjere iz svakodnevice, npr. vruća vodena para podiže poklopac. </w:t>
            </w:r>
          </w:p>
          <w:p w:rsidR="009059F4" w:rsidRPr="00E45C0D" w:rsidRDefault="009059F4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156A" w:rsidRPr="00E45C0D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45C0D">
              <w:rPr>
                <w:sz w:val="20"/>
                <w:szCs w:val="20"/>
              </w:rPr>
              <w:t xml:space="preserve">Ostane li dovoljno vremena, učenici </w:t>
            </w:r>
            <w:r w:rsidR="009059F4">
              <w:rPr>
                <w:sz w:val="20"/>
                <w:szCs w:val="20"/>
              </w:rPr>
              <w:t xml:space="preserve">odgovaraju na </w:t>
            </w:r>
            <w:r w:rsidRPr="00E45C0D">
              <w:rPr>
                <w:sz w:val="20"/>
                <w:szCs w:val="20"/>
              </w:rPr>
              <w:t xml:space="preserve"> odabrana pitanja </w:t>
            </w:r>
            <w:r w:rsidR="009059F4">
              <w:rPr>
                <w:sz w:val="20"/>
                <w:szCs w:val="20"/>
              </w:rPr>
              <w:t xml:space="preserve">iz </w:t>
            </w:r>
            <w:r w:rsidRPr="00E45C0D">
              <w:rPr>
                <w:sz w:val="20"/>
                <w:szCs w:val="20"/>
              </w:rPr>
              <w:t xml:space="preserve"> </w:t>
            </w:r>
            <w:r w:rsidRPr="00E45C0D">
              <w:rPr>
                <w:i/>
                <w:sz w:val="20"/>
                <w:szCs w:val="20"/>
              </w:rPr>
              <w:t>Razmislite</w:t>
            </w:r>
            <w:r w:rsidRPr="00E45C0D">
              <w:rPr>
                <w:sz w:val="20"/>
                <w:szCs w:val="20"/>
              </w:rPr>
              <w:t xml:space="preserve"> na str. 1</w:t>
            </w:r>
            <w:r w:rsidR="009059F4">
              <w:rPr>
                <w:sz w:val="20"/>
                <w:szCs w:val="20"/>
              </w:rPr>
              <w:t>13</w:t>
            </w:r>
            <w:r w:rsidRPr="00E45C0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E45C0D">
              <w:rPr>
                <w:sz w:val="20"/>
                <w:szCs w:val="20"/>
              </w:rPr>
              <w:t xml:space="preserve">udžbenika. </w:t>
            </w:r>
          </w:p>
          <w:p w:rsidR="00E5156A" w:rsidRDefault="00E5156A" w:rsidP="009B711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50D0" w:rsidRDefault="000350D0" w:rsidP="009B711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50D0" w:rsidRDefault="000350D0" w:rsidP="009B711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350D0" w:rsidRPr="00E45C0D" w:rsidRDefault="000350D0" w:rsidP="009B711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5156A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350D0" w:rsidRDefault="000350D0" w:rsidP="000350D0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 xml:space="preserve">               Završni dio (primjena modela)</w:t>
            </w:r>
          </w:p>
          <w:p w:rsidR="00E5156A" w:rsidRPr="00E45C0D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E5156A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Učenike upućujemo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na pitanja u RB (str.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85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i 86.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) pod naslovom </w:t>
            </w:r>
            <w:r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  <w:t>Promjena unutarnje energije radom i toplinom</w:t>
            </w:r>
            <w:r w:rsidRPr="006A5514">
              <w:rPr>
                <w:rFonts w:cs="Slo SK TheSans SemiBoldPlain"/>
                <w:bCs/>
                <w:color w:val="000000"/>
                <w:sz w:val="20"/>
                <w:szCs w:val="20"/>
              </w:rPr>
              <w:t>.</w:t>
            </w:r>
          </w:p>
          <w:p w:rsidR="00E5156A" w:rsidRDefault="00E5156A" w:rsidP="00E5156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  <w:p w:rsidR="00E5156A" w:rsidRPr="00E5156A" w:rsidRDefault="00E5156A" w:rsidP="00E5156A">
            <w:pPr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 w:rsidRPr="00E5156A">
              <w:rPr>
                <w:sz w:val="20"/>
                <w:szCs w:val="20"/>
              </w:rPr>
              <w:t xml:space="preserve">Učenici </w:t>
            </w:r>
            <w:r w:rsidRPr="00E5156A">
              <w:rPr>
                <w:b/>
                <w:sz w:val="20"/>
                <w:szCs w:val="20"/>
                <w:lang w:eastAsia="hr-HR"/>
              </w:rPr>
              <w:t>rješavaju zadatke u RB traže pomoć i pomažu jedni drugima u raspravi i rješavanju zadataka te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  <w:r w:rsidRPr="00E5156A">
              <w:rPr>
                <w:b/>
                <w:sz w:val="20"/>
                <w:szCs w:val="20"/>
                <w:lang w:eastAsia="hr-HR"/>
              </w:rPr>
              <w:t>raspravljaju i uspoređuju  točnost rješenja</w:t>
            </w:r>
          </w:p>
          <w:p w:rsidR="00E5156A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156A" w:rsidRDefault="00E5156A" w:rsidP="009B711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Učenici mogu provjeriti svoje znanje  rješavanjem kvizova na tabletima.</w:t>
            </w:r>
          </w:p>
          <w:p w:rsidR="00E5156A" w:rsidRPr="00A23A28" w:rsidRDefault="00E5156A" w:rsidP="009B7113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E5156A" w:rsidRPr="00E45C0D" w:rsidRDefault="00E5156A" w:rsidP="009B7113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lang w:eastAsia="hr-HR"/>
              </w:rPr>
            </w:pPr>
          </w:p>
        </w:tc>
      </w:tr>
    </w:tbl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Slo SK TheSerif ExtraBoldPla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617"/>
    <w:multiLevelType w:val="hybridMultilevel"/>
    <w:tmpl w:val="2E3AC5D8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95B6A"/>
    <w:multiLevelType w:val="hybridMultilevel"/>
    <w:tmpl w:val="5E4AA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CC0"/>
    <w:multiLevelType w:val="hybridMultilevel"/>
    <w:tmpl w:val="D7D22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83EB0"/>
    <w:multiLevelType w:val="hybridMultilevel"/>
    <w:tmpl w:val="5E1A8CC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6131"/>
    <w:multiLevelType w:val="hybridMultilevel"/>
    <w:tmpl w:val="12022508"/>
    <w:lvl w:ilvl="0" w:tplc="45C03A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F5060"/>
    <w:multiLevelType w:val="hybridMultilevel"/>
    <w:tmpl w:val="328A6702"/>
    <w:lvl w:ilvl="0" w:tplc="45C03A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9B2DABC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29D65E1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A12D4"/>
    <w:multiLevelType w:val="hybridMultilevel"/>
    <w:tmpl w:val="5F14FE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A219D"/>
    <w:multiLevelType w:val="hybridMultilevel"/>
    <w:tmpl w:val="64CEAC8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82C3C"/>
    <w:multiLevelType w:val="hybridMultilevel"/>
    <w:tmpl w:val="2184151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13DCB"/>
    <w:multiLevelType w:val="hybridMultilevel"/>
    <w:tmpl w:val="A1BC1E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DA4B21"/>
    <w:multiLevelType w:val="hybridMultilevel"/>
    <w:tmpl w:val="D478A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1"/>
  </w:num>
  <w:num w:numId="5">
    <w:abstractNumId w:val="8"/>
  </w:num>
  <w:num w:numId="6">
    <w:abstractNumId w:val="0"/>
  </w:num>
  <w:num w:numId="7">
    <w:abstractNumId w:val="16"/>
  </w:num>
  <w:num w:numId="8">
    <w:abstractNumId w:val="3"/>
  </w:num>
  <w:num w:numId="9">
    <w:abstractNumId w:val="9"/>
  </w:num>
  <w:num w:numId="10">
    <w:abstractNumId w:val="13"/>
  </w:num>
  <w:num w:numId="11">
    <w:abstractNumId w:val="18"/>
  </w:num>
  <w:num w:numId="12">
    <w:abstractNumId w:val="6"/>
  </w:num>
  <w:num w:numId="13">
    <w:abstractNumId w:val="2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1"/>
  </w:num>
  <w:num w:numId="18">
    <w:abstractNumId w:val="15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01590A"/>
    <w:rsid w:val="000350D0"/>
    <w:rsid w:val="000622E4"/>
    <w:rsid w:val="00123912"/>
    <w:rsid w:val="0020280A"/>
    <w:rsid w:val="0025243D"/>
    <w:rsid w:val="003052CC"/>
    <w:rsid w:val="003D4C92"/>
    <w:rsid w:val="004200A9"/>
    <w:rsid w:val="00427E18"/>
    <w:rsid w:val="004B4920"/>
    <w:rsid w:val="00535563"/>
    <w:rsid w:val="00616C64"/>
    <w:rsid w:val="0063418A"/>
    <w:rsid w:val="007214BC"/>
    <w:rsid w:val="00730D9E"/>
    <w:rsid w:val="007566AE"/>
    <w:rsid w:val="00766003"/>
    <w:rsid w:val="007A4F22"/>
    <w:rsid w:val="007E4945"/>
    <w:rsid w:val="00810F0B"/>
    <w:rsid w:val="009059F4"/>
    <w:rsid w:val="009F1C76"/>
    <w:rsid w:val="00B51A57"/>
    <w:rsid w:val="00BA0A7B"/>
    <w:rsid w:val="00BD0009"/>
    <w:rsid w:val="00BE48EB"/>
    <w:rsid w:val="00C4075D"/>
    <w:rsid w:val="00CC3007"/>
    <w:rsid w:val="00E06240"/>
    <w:rsid w:val="00E5156A"/>
    <w:rsid w:val="00E80B9C"/>
    <w:rsid w:val="00F070D6"/>
    <w:rsid w:val="00F52B28"/>
    <w:rsid w:val="00F64D7D"/>
    <w:rsid w:val="00FC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C92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63418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9</cp:revision>
  <dcterms:created xsi:type="dcterms:W3CDTF">2019-10-20T18:23:00Z</dcterms:created>
  <dcterms:modified xsi:type="dcterms:W3CDTF">2019-10-23T10:05:00Z</dcterms:modified>
</cp:coreProperties>
</file>